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87" w:rsidRDefault="00427487" w:rsidP="004274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8C2D1C">
        <w:rPr>
          <w:rFonts w:ascii="Times New Roman" w:hAnsi="Times New Roman" w:cs="Times New Roman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</w:rPr>
        <w:t xml:space="preserve">  </w:t>
      </w:r>
      <w:r w:rsidRPr="008C2D1C">
        <w:rPr>
          <w:rFonts w:ascii="Times New Roman" w:hAnsi="Times New Roman" w:cs="Times New Roman"/>
        </w:rPr>
        <w:t>«Детский сад №4 «Дружба»</w:t>
      </w:r>
    </w:p>
    <w:p w:rsidR="00427487" w:rsidRPr="008C2D1C" w:rsidRDefault="00427487" w:rsidP="004274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8C2D1C">
        <w:rPr>
          <w:rFonts w:ascii="Times New Roman" w:hAnsi="Times New Roman" w:cs="Times New Roman"/>
        </w:rPr>
        <w:t xml:space="preserve"> г. Новоузенска Саратовской области»</w:t>
      </w: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2748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Консультация на тему:</w:t>
      </w:r>
      <w:r w:rsidRPr="004274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Игры для развития понимания речи ребёнка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Pr="004274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второго года жизни (с 1 года до 2 лет)</w:t>
      </w: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86008" w:rsidRDefault="00986008" w:rsidP="0098600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43612" cy="3876675"/>
            <wp:effectExtent l="19050" t="0" r="0" b="0"/>
            <wp:docPr id="1" name="Рисунок 1" descr="https://tacon.ru/wp-content/uploads/8/1/8/818c0dba77b5a32c1971261bf4f44c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8/1/8/818c0dba77b5a32c1971261bf4f44cd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34" cy="387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7487" w:rsidRDefault="00427487" w:rsidP="00986008">
      <w:pPr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427487" w:rsidRDefault="00427487" w:rsidP="0042748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7487" w:rsidRPr="00D517F6" w:rsidRDefault="00D517F6" w:rsidP="00D517F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="004274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Подготовила  учитель-дефектолог Бакирова О.В</w:t>
      </w:r>
    </w:p>
    <w:p w:rsidR="00427487" w:rsidRDefault="00427487" w:rsidP="00977F3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2574D" w:rsidRPr="00977F30" w:rsidRDefault="00BD3120" w:rsidP="00977F3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77F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Игры для развития понимания речи </w:t>
      </w:r>
      <w:r w:rsidR="0062574D" w:rsidRPr="00977F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ребёнка</w:t>
      </w:r>
    </w:p>
    <w:p w:rsidR="00BD3120" w:rsidRPr="00977F30" w:rsidRDefault="00BD3120" w:rsidP="00977F30">
      <w:pPr>
        <w:spacing w:after="0" w:line="276" w:lineRule="auto"/>
        <w:ind w:firstLine="709"/>
        <w:contextualSpacing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77F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второго года жизни (с 1 года до 2 лет)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Речь складывается из активного и пассивного словаря. Нужно заложить фундамент для речи – накопить достаточно большой пассивный словарь, для того чтобы появилась возможность перехода к активному словарю (самостоятельной речи). Поэтому в первую очередь необходимо научить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понимать речь.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Поручения (с 1 года)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Возьмите 5–8 игрушек, с которыми малыш постоянно играет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опросите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дать вам игрушки (предметы), названию которых малыш хорошо знает, или положить игрушки (предметы) на свое место.Называя имена близких, попросите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отнести им игрушку или привести взрослого сюда.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помощью игры у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выработается понимание речи (без показа) – названий нескольких предметов, действий, имен окружающих, выполнение отдельных поручений.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Нельзя! (с 1 года)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Увидев нежелательные действия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обратитесь к нему и, называя малыша по имени, строго скажите: «Нельзя!»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не надо называть само действие или предметы, взятые 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(например, не надо говорить: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«Не трогай!» или «Поставь чашку!»), а также забирать их из рук малыша.</w:t>
      </w:r>
      <w:proofErr w:type="gramEnd"/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вырабатывает у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понимание слова «нельзя», умение подчиняться запрету взрослого.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Знакомые вещи (с 1 года 3 месяцев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Используйте игрушки, с которыми малыш постоянно играет; предметы обихода. Во время игр, кормления и гигиенического ухода за 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называйте предметы и игрушки, которыми пользуется малыш (машинка, мячик, полотенце, мыло, часы).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Расставьте перед ребёнком четыре предмета (игрушки) и попросите показать каждый из них. При этом задавайте ребёнку вопросы: «Где …?»Расставьте эти же предметы перед малышом в другом порядке и вновь дайте задание показать каждый из называемых предметов.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способствует расширению запаса понимаемых ребёнком слов, обозначающих предметы быта, игрушки.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Покажи носик (с 1 года 3 месяцев)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Общаясь и играя с 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почаще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показывайте и называйте части лица самого малыша, а также игрушек: куклы, собачки, медвежонка.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Попросите ребёнка показать указательным пальчиком, где у него носик, глазки, ротик, щ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чки. Затем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дайте задание малышу показать эти иже части лица на кукле, на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</w:rPr>
        <w:t>игрушке-зверюшке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поможет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запомнить слова, обозначающие части лица, будет способствовать развитию мелкой моторики пальцев рук.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Кукла Ляля (с 1 года 3 месяцев)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Вам потребуются кукла, кукольная кроватка, тарелочка, ложечка, тележка (коляска для куклы). Покажите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разные варианты игровых действий: уложите куклу спать, покормите с ложки, покатайте в тележке (коляске). Все свои действия комментируйте. Предложите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«Покорми куклу», «Положи куклу в кроватку», «Покатай куклу в тележке».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поможет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расширить запас понимаемых слов, обозначающих разные действия.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Сборы на прогулку (с 1 года 6 месяцев)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 прогулкой разложите уличную одежду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стульчике. Скажите: «Сейчас мы пойдём гулять. Где у нас лежит шапка? Вот она. Какая она пушистая – потрогай ручками! Давай наденем шапку на головку. Вот так! Посмотрись в зеркало. Какая шапочка красивая – синяя-синяя! Игра продемонстрирует взрослому, как нужно проговаривать свои действия, общаясь с малышом, расширит запас понимаемых слов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Обед для зверей (с 1 года 6 месяцев)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помощью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игрушек-зверюшек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игрушечного столика и посуды организуйте игру с кормлением зверей. Скажите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звери проголодались. Предложите накормить их обедом. При этом сами с собой ведите диалог: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Вот кошечка бежит – топ-топ-топ! (Двигайте игрушечную кошечку.)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она говорит? – Мяу-мяу! Кушать хочу!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Садись, кошечка, за стол! (Посадите кошку за игрушечный столик.)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кто идет вперевалочку? Мишка шагает – топ-топ, топ-топ! Что он говорит?</w:t>
      </w:r>
    </w:p>
    <w:p w:rsidR="0062574D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Э-э-э! Кушать хочу! – Садись, мишка, за стол! (Посадите мишку за игрушечный столик.)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посадить за стол собачку, зайчика, обезьянку и дать всем по тарелочке и ложечке, обсудив предварительно, что в тарелку «налит суп».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развивает понимание 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обращенной к нему речи.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Кто что делает? (с 1 года 6-9 месяцев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Возьмите сюжетные картинки, например: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ест, девочка спит, дети играют с мячом.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Показывайте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 простые картинки и рассказывайте ему, кто на них изображен и что делает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.З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атем разложите картинки на столе и предложите малышу показать ту, на которой мальчик ест. Затем пусть малыш выберет картинку, на которой девочка спит, и ту, где дети играют. По этим же картинкам можно задать малышу вопросы: «Кто это?» и «Что делает?»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вопрос «Кто?» малыш будет подавать вам картинки. А на вопрос «Что делает?» – изображать знакомые действия. Если речевые возможности позволят, то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ответит и на вопросы.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помощью этого задания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 учиться понимать простые вопросы.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Части тела (с 1 года 9 месяцев)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Общаясь и играя с 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показывайтесь и называйте части тела.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Попросите ребёнка показать на себе, где находятся разные части тела: глаза, лоб, нос, волосы, спина, живот, руки и ноги.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Попросите показать эти же части тела на кукле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усть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покажет их на картинке.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поможет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запомнить слова, обозначающие части лица, будет способствовать развитию мелкой моторики пальцев рук.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Волшебный мешочек (с 1 года 9 месяцев — 2 лет)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потребуются мешочек из яркой ткани и небольшие игрушки. Покажите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мешочек и скажите, что он не простой, а волшебный: сейчас из него появятся разные игрушки. Вынимайте из мешочка игрушку, например, лисичку, называйте е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затем передавайте малышу. Доставая из мешочка следующую игрушку, например, кубик, назовите и его. Так одну за другой достаньте из волшебного мешочка 3–4 игрушки, назовите их и отдайте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ребёнку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рассматривания. Когда малыш рассмотрит все игрушки, попросите его убрать игрушки в мешочек. При этом называйте одну за другой, а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пусть кладет их по очереди в волшебный мешочек.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развивает у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понимание речи, расширяет его пассивный словарь.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Слушай и выполняй (с 2 лет)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повседневном общении, в играх называйте и показывайте самые разные действия. Так, покажите, как можно кружиться на месте, прыгать, поднимать и опускать руки, приседать и т. п.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Затем попросите малыша выполнить ваши команды. Команды могут быть следующими: «Сядь-встань-попрыгай»; «Встань-подними руки вверх-опусти </w:t>
      </w: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руки-сядь</w:t>
      </w:r>
      <w:proofErr w:type="gramEnd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 «Попрыгай-покружись-присядь»; «Топни ножкой-похлопай в ладошки-беги ко мне».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поможет закреплению в пассивном словаре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слов, обозначающих действия.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427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Кто это? (с 2 лет)</w:t>
      </w:r>
    </w:p>
    <w:bookmarkEnd w:id="0"/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Возьмите картинки с изображениями мальчика, девочки, мужчины, женщины. Разложите их перед малышом и называйте каждую: «Это т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тя», «Это дядя», «Это мальчик», «Это девочка».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Попросите показать сначала мальчика, потом девочку и т. д. Когда малыш правильно покажет картинку, отдайте е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ему. В конце игры все четыре картинки должны оказаться у малыша.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продолжить игру, попросив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вернуть вам картинки: сначала мальчика, потом девочку, затем т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 и дядю. Получив картинки, разложите их в два ряда на столе, а затем скажите: «Спрячу девочку!» и переверните картинку обратной стороной кверху; «Спрячу мальчика!» и переверните следующую картинку и т. д.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Попросите кроху вспомнить: «Где спрятался мальчик?», «Где т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тя?» и т. д. Дав ответ, малыш может сам перевернуть картинки рисунками кверху. Если он ошибся, сами правильно назовите картинку. Если же </w:t>
      </w:r>
      <w:r w:rsidR="0062574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выберет картинку правильно, похвалите.</w:t>
      </w:r>
    </w:p>
    <w:p w:rsidR="00BD3120" w:rsidRPr="00427487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Аналогично проводите игры с картинками, на которых изображены домашние (кошка, собака, корова, лошадка) или дикие (медведь, лиса, волк, заяц) животные.</w:t>
      </w:r>
      <w:proofErr w:type="gramEnd"/>
    </w:p>
    <w:p w:rsidR="00BD3120" w:rsidRDefault="00BD3120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развивает понимание </w:t>
      </w:r>
      <w:r w:rsidR="009D1D3D"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ребёнком</w:t>
      </w:r>
      <w:r w:rsidRPr="00427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обращенной к нему речи и совершенствует мелкую моторику пальцев рук.</w:t>
      </w: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7487" w:rsidRPr="00427487" w:rsidRDefault="00427487" w:rsidP="00977F3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27487" w:rsidRPr="00427487" w:rsidSect="00427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26B"/>
    <w:rsid w:val="00034213"/>
    <w:rsid w:val="00427487"/>
    <w:rsid w:val="0062574D"/>
    <w:rsid w:val="00977F30"/>
    <w:rsid w:val="00986008"/>
    <w:rsid w:val="009A6E9E"/>
    <w:rsid w:val="009D1D3D"/>
    <w:rsid w:val="00BB126B"/>
    <w:rsid w:val="00BD3120"/>
    <w:rsid w:val="00CB592F"/>
    <w:rsid w:val="00D5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3120"/>
  </w:style>
  <w:style w:type="paragraph" w:styleId="a3">
    <w:name w:val="No Spacing"/>
    <w:link w:val="a4"/>
    <w:uiPriority w:val="1"/>
    <w:qFormat/>
    <w:rsid w:val="004274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42748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2024-01-15T05:05:00Z</cp:lastPrinted>
  <dcterms:created xsi:type="dcterms:W3CDTF">2017-05-10T07:06:00Z</dcterms:created>
  <dcterms:modified xsi:type="dcterms:W3CDTF">2024-01-15T10:31:00Z</dcterms:modified>
</cp:coreProperties>
</file>